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BE" w:rsidRPr="00504778" w:rsidRDefault="00884F48" w:rsidP="00884F48">
      <w:pPr>
        <w:spacing w:after="0"/>
        <w:ind w:left="120"/>
        <w:jc w:val="center"/>
        <w:rPr>
          <w:lang w:val="ru-RU"/>
        </w:rPr>
      </w:pPr>
      <w:bookmarkStart w:id="0" w:name="block-660576"/>
      <w:r w:rsidRPr="00884F48">
        <w:rPr>
          <w:noProof/>
          <w:lang w:val="ru-RU" w:eastAsia="ru-RU"/>
        </w:rPr>
        <w:drawing>
          <wp:inline distT="0" distB="0" distL="0" distR="0">
            <wp:extent cx="5940425" cy="7898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C63BE" w:rsidRPr="00504778" w:rsidRDefault="00725809" w:rsidP="00884F48">
      <w:pPr>
        <w:spacing w:after="0"/>
        <w:ind w:left="120"/>
        <w:jc w:val="center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EC63BE" w:rsidRPr="00504778" w:rsidRDefault="00EC63BE">
      <w:pPr>
        <w:spacing w:after="0"/>
        <w:ind w:left="120"/>
        <w:jc w:val="center"/>
        <w:rPr>
          <w:lang w:val="ru-RU"/>
        </w:rPr>
      </w:pPr>
    </w:p>
    <w:p w:rsidR="00EC63BE" w:rsidRPr="00504778" w:rsidRDefault="00EC63BE">
      <w:pPr>
        <w:spacing w:after="0"/>
        <w:ind w:left="120"/>
        <w:jc w:val="center"/>
        <w:rPr>
          <w:lang w:val="ru-RU"/>
        </w:rPr>
      </w:pPr>
    </w:p>
    <w:p w:rsidR="00EC63BE" w:rsidRPr="00504778" w:rsidRDefault="00EC63BE">
      <w:pPr>
        <w:spacing w:after="0"/>
        <w:ind w:left="120"/>
        <w:jc w:val="center"/>
        <w:rPr>
          <w:lang w:val="ru-RU"/>
        </w:rPr>
      </w:pPr>
    </w:p>
    <w:p w:rsidR="00EC63BE" w:rsidRPr="00504778" w:rsidRDefault="00EC63BE">
      <w:pPr>
        <w:spacing w:after="0"/>
        <w:ind w:left="120"/>
        <w:jc w:val="center"/>
        <w:rPr>
          <w:lang w:val="ru-RU"/>
        </w:rPr>
      </w:pPr>
    </w:p>
    <w:p w:rsidR="00EC63BE" w:rsidRPr="00504778" w:rsidRDefault="00EC63BE">
      <w:pPr>
        <w:spacing w:after="0"/>
        <w:ind w:left="120"/>
        <w:jc w:val="center"/>
        <w:rPr>
          <w:lang w:val="ru-RU"/>
        </w:rPr>
      </w:pPr>
    </w:p>
    <w:p w:rsidR="00EC63BE" w:rsidRPr="00504778" w:rsidRDefault="00EC63BE">
      <w:pPr>
        <w:spacing w:after="0"/>
        <w:ind w:left="120"/>
        <w:jc w:val="center"/>
        <w:rPr>
          <w:lang w:val="ru-RU"/>
        </w:rPr>
      </w:pPr>
    </w:p>
    <w:p w:rsidR="00EC63BE" w:rsidRPr="00504778" w:rsidRDefault="00EC63BE" w:rsidP="00504778">
      <w:pPr>
        <w:spacing w:after="0"/>
        <w:rPr>
          <w:lang w:val="ru-RU"/>
        </w:rPr>
      </w:pPr>
    </w:p>
    <w:p w:rsidR="00EC63BE" w:rsidRPr="00504778" w:rsidRDefault="00EC63BE">
      <w:pPr>
        <w:spacing w:after="0"/>
        <w:ind w:left="120"/>
        <w:jc w:val="center"/>
        <w:rPr>
          <w:lang w:val="ru-RU"/>
        </w:rPr>
      </w:pPr>
    </w:p>
    <w:p w:rsidR="00EC63BE" w:rsidRPr="00504778" w:rsidRDefault="00725809">
      <w:pPr>
        <w:spacing w:after="0"/>
        <w:ind w:left="120"/>
        <w:jc w:val="center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3BE" w:rsidRDefault="00EC63BE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884F48" w:rsidRDefault="00884F48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Default="00615CDF">
      <w:pPr>
        <w:spacing w:after="0"/>
        <w:ind w:left="120"/>
        <w:rPr>
          <w:lang w:val="ru-RU"/>
        </w:rPr>
      </w:pPr>
    </w:p>
    <w:p w:rsidR="00615CDF" w:rsidRPr="00504778" w:rsidRDefault="00615CDF">
      <w:pPr>
        <w:spacing w:after="0"/>
        <w:ind w:left="120"/>
        <w:rPr>
          <w:lang w:val="ru-RU"/>
        </w:rPr>
      </w:pPr>
    </w:p>
    <w:p w:rsidR="00EC63BE" w:rsidRPr="00504778" w:rsidRDefault="00884F48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  <w:hyperlink r:id="rId6" w:history="1">
        <w:r w:rsidR="00504778" w:rsidRPr="00762369">
          <w:rPr>
            <w:rStyle w:val="ab"/>
            <w:lang w:val="ru-RU"/>
          </w:rPr>
          <w:t>https://workprogram.edsoo.ru/work-programs/94573?sharedToken=xfe8HHok57</w:t>
        </w:r>
      </w:hyperlink>
      <w:r w:rsidR="00504778">
        <w:rPr>
          <w:lang w:val="ru-RU"/>
        </w:rPr>
        <w:t xml:space="preserve"> 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2" w:name="block-660581"/>
      <w:bookmarkEnd w:id="0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3" w:name="block-660582"/>
      <w:bookmarkEnd w:id="2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C63BE" w:rsidRDefault="0072580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3BE" w:rsidRDefault="0072580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3BE" w:rsidRDefault="0072580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3BE" w:rsidRDefault="0072580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63BE" w:rsidRDefault="0072580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C63BE" w:rsidRDefault="0072580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C63BE" w:rsidRDefault="00725809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C63BE" w:rsidRDefault="0072580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Default="0072580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C63BE" w:rsidRDefault="00725809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C63BE" w:rsidRDefault="00725809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C63BE" w:rsidRDefault="00725809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4" w:name="block-660580"/>
      <w:bookmarkEnd w:id="3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0477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0477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0477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 w:rsidR="00FF0677"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 w:rsidR="00FF0677"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F0677">
        <w:fldChar w:fldCharType="end"/>
      </w:r>
      <w:bookmarkEnd w:id="5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0477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C63BE" w:rsidRPr="00504778" w:rsidRDefault="00884F4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25809" w:rsidRPr="00504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725809" w:rsidRPr="005047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C63BE" w:rsidRPr="00504778" w:rsidRDefault="00884F48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725809" w:rsidRPr="00504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047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EC63BE" w:rsidRPr="00504778" w:rsidRDefault="00FF067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ftnref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>
        <w:fldChar w:fldCharType="separate"/>
      </w:r>
      <w:r w:rsidR="00725809" w:rsidRPr="0050477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6"/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bookmarkStart w:id="7" w:name="block-660578"/>
      <w:bookmarkEnd w:id="4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C63B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884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 w:rsidP="00725809">
      <w:pPr>
        <w:spacing w:after="0" w:line="240" w:lineRule="atLeast"/>
        <w:ind w:left="119"/>
      </w:pPr>
      <w:bookmarkStart w:id="8" w:name="block-66057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63BE" w:rsidRPr="009E6044" w:rsidRDefault="00725809" w:rsidP="00725809">
      <w:pPr>
        <w:spacing w:after="0" w:line="240" w:lineRule="atLeast"/>
        <w:ind w:left="119"/>
        <w:rPr>
          <w:lang w:val="ru-RU"/>
        </w:rPr>
      </w:pPr>
      <w:r w:rsidRPr="009E604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9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О.В. Практическое пособие по развитию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речи.-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1" w:name="fd52a43b-c242-4127-baad-a48d1af65976"/>
      <w:bookmarkEnd w:id="11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63BE" w:rsidRPr="00504778" w:rsidRDefault="00EC63BE" w:rsidP="00725809">
      <w:pPr>
        <w:spacing w:after="0" w:line="240" w:lineRule="atLeast"/>
        <w:ind w:left="119"/>
        <w:rPr>
          <w:lang w:val="ru-RU"/>
        </w:rPr>
      </w:pPr>
    </w:p>
    <w:p w:rsidR="00EC63BE" w:rsidRPr="00CF55B2" w:rsidRDefault="00725809" w:rsidP="00725809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Рособразования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opennet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lastRenderedPageBreak/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musik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класс)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2" w:name="23c78781-7b6a-4b73-bf51-0c3eb6738d38"/>
      <w:bookmarkEnd w:id="12"/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25809" w:rsidRPr="00504778" w:rsidRDefault="00725809">
      <w:pPr>
        <w:rPr>
          <w:lang w:val="ru-RU"/>
        </w:rPr>
      </w:pPr>
    </w:p>
    <w:sectPr w:rsidR="00725809" w:rsidRPr="00504778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3BE"/>
    <w:rsid w:val="00504778"/>
    <w:rsid w:val="00615CDF"/>
    <w:rsid w:val="00725809"/>
    <w:rsid w:val="00884F48"/>
    <w:rsid w:val="009E6044"/>
    <w:rsid w:val="00CF55B2"/>
    <w:rsid w:val="00EC63BE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B473-1D67-4A7A-BBA1-F432FD2D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work-programs/94573?sharedToken=xfe8HHok57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8992</Words>
  <Characters>51258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2023-06-02T09:56:00Z</dcterms:created>
  <dcterms:modified xsi:type="dcterms:W3CDTF">2023-10-05T05:03:00Z</dcterms:modified>
</cp:coreProperties>
</file>